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75364AAD" w:rsidR="00715EDC" w:rsidRDefault="00957CC8" w:rsidP="00846DCE">
      <w:pPr>
        <w:spacing w:before="5" w:line="360" w:lineRule="auto"/>
        <w:jc w:val="both"/>
        <w:rPr>
          <w:rFonts w:cstheme="minorHAnsi"/>
          <w:sz w:val="24"/>
          <w:szCs w:val="24"/>
        </w:rPr>
      </w:pPr>
      <w:r w:rsidRPr="00C8202D">
        <w:t xml:space="preserve">Aos </w:t>
      </w:r>
      <w:r w:rsidR="009A0070">
        <w:t>27</w:t>
      </w:r>
      <w:r w:rsidR="00B67010" w:rsidRPr="00C8202D">
        <w:t xml:space="preserve"> </w:t>
      </w:r>
      <w:r w:rsidR="00B00389" w:rsidRPr="00C8202D">
        <w:t xml:space="preserve">de </w:t>
      </w:r>
      <w:r w:rsidR="0070367D">
        <w:t>janeir</w:t>
      </w:r>
      <w:r w:rsidR="00D119C1">
        <w:t>o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70367D">
        <w:t>5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 xml:space="preserve">Prev, situado a Rua Monsenhor Pinheiro, nº 101, centro, Guanhães/MG, reuniu-se o Comitê de Investimento do Instituto, </w:t>
      </w:r>
      <w:r w:rsidR="00D06E6C" w:rsidRPr="00C8202D">
        <w:t>Francielle Elgita de Oliveira</w:t>
      </w:r>
      <w:r w:rsidR="00C463F2" w:rsidRPr="00C8202D">
        <w:t xml:space="preserve"> Costa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Silva</w:t>
      </w:r>
      <w:r w:rsidR="000F1624" w:rsidRPr="00C8202D">
        <w:t xml:space="preserve"> </w:t>
      </w:r>
      <w:r w:rsidR="00D119C1">
        <w:t xml:space="preserve">e </w:t>
      </w:r>
      <w:r w:rsidR="00B00389" w:rsidRPr="00C8202D">
        <w:t>Rosimery Aparecida Inácio de Pinho Procópio</w:t>
      </w:r>
      <w:r w:rsidR="00580587" w:rsidRPr="00C8202D">
        <w:t>,</w:t>
      </w:r>
      <w:r w:rsidR="00D119C1">
        <w:t xml:space="preserve"> </w:t>
      </w:r>
      <w:r w:rsidR="00D119C1" w:rsidRPr="00C8202D">
        <w:t>Márcia Helena Pires Reis</w:t>
      </w:r>
      <w:r w:rsidR="00D119C1">
        <w:t>.</w:t>
      </w:r>
      <w:r w:rsidR="00580587" w:rsidRPr="00C8202D">
        <w:t xml:space="preserve"> </w:t>
      </w:r>
      <w:r w:rsidR="00D119C1">
        <w:t xml:space="preserve">Também participou </w:t>
      </w:r>
      <w:r w:rsidR="00D119C1" w:rsidRPr="00C8202D">
        <w:t>Ro</w:t>
      </w:r>
      <w:r w:rsidR="00EE7DDD">
        <w:t>d</w:t>
      </w:r>
      <w:r w:rsidR="00D119C1" w:rsidRPr="00C8202D">
        <w:t>ol</w:t>
      </w:r>
      <w:r w:rsidR="00287591">
        <w:t>ph</w:t>
      </w:r>
      <w:r w:rsidR="00D119C1" w:rsidRPr="00C8202D">
        <w:t>o</w:t>
      </w:r>
      <w:r w:rsidR="00C8202D">
        <w:t xml:space="preserve"> </w:t>
      </w:r>
      <w:r w:rsidR="000F1624" w:rsidRPr="00C8202D">
        <w:t xml:space="preserve">representante </w:t>
      </w:r>
      <w:r w:rsidR="00D119C1" w:rsidRPr="00C8202D">
        <w:t>da Assessoria</w:t>
      </w:r>
      <w:r w:rsidR="000F1624" w:rsidRPr="00C8202D">
        <w:t xml:space="preserve"> de Investimento Lema</w:t>
      </w:r>
      <w:r w:rsidR="00666BBA">
        <w:t xml:space="preserve">. </w:t>
      </w:r>
      <w:r w:rsidR="009A0070">
        <w:t xml:space="preserve"> A </w:t>
      </w:r>
      <w:r w:rsidR="0070367D">
        <w:t>reunião</w:t>
      </w:r>
      <w:r w:rsidR="009A0070">
        <w:t xml:space="preserve"> f</w:t>
      </w:r>
      <w:r w:rsidR="00E7391A">
        <w:t xml:space="preserve">oi iniciada </w:t>
      </w:r>
      <w:r w:rsidR="00846DCE">
        <w:t xml:space="preserve">pela Francielle que informou que a pauta é o fechamento do mês de dezembro de 2024. Francielle informou que </w:t>
      </w:r>
      <w:r w:rsidR="00846DCE">
        <w:rPr>
          <w:rFonts w:cstheme="minorHAnsi"/>
        </w:rPr>
        <w:t>a</w:t>
      </w:r>
      <w:r w:rsidR="00846DCE" w:rsidRPr="00846DCE">
        <w:rPr>
          <w:rFonts w:cstheme="minorHAnsi"/>
        </w:rPr>
        <w:t xml:space="preserve"> carteira de investimentos do GUANHÃES PREV está segregada entre os segmentos de renda fixa</w:t>
      </w:r>
      <w:r w:rsidR="00846DCE">
        <w:rPr>
          <w:rFonts w:cstheme="minorHAnsi"/>
        </w:rPr>
        <w:t xml:space="preserve"> e </w:t>
      </w:r>
      <w:r w:rsidR="00846DCE" w:rsidRPr="00846DCE">
        <w:rPr>
          <w:rFonts w:cstheme="minorHAnsi"/>
        </w:rPr>
        <w:t xml:space="preserve">renda variável, sendo </w:t>
      </w:r>
      <w:r w:rsidR="00846DCE" w:rsidRPr="00846DCE">
        <w:rPr>
          <w:rFonts w:cstheme="minorHAnsi"/>
          <w:b/>
          <w:bCs/>
        </w:rPr>
        <w:t>79,16%, 20,84%</w:t>
      </w:r>
      <w:r w:rsidR="00846DCE" w:rsidRPr="00846DCE">
        <w:rPr>
          <w:rFonts w:cstheme="minorHAnsi"/>
        </w:rPr>
        <w:t xml:space="preserve"> e respectivamente, não ultrapassando o limite de 35% permitido pela Resolução CMN n°4.963/2021 para o segmento de renda variável aos RPPS que possuem a Certificação Institucional Pró-Gestão Nível I</w:t>
      </w:r>
      <w:r w:rsidR="00846DCE">
        <w:rPr>
          <w:rFonts w:cstheme="minorHAnsi"/>
        </w:rPr>
        <w:t xml:space="preserve"> e que não há</w:t>
      </w:r>
      <w:r w:rsidR="00846DCE" w:rsidRPr="00D21B40">
        <w:rPr>
          <w:rFonts w:ascii="Arial" w:hAnsi="Arial" w:cs="Arial"/>
        </w:rPr>
        <w:t xml:space="preserve"> </w:t>
      </w:r>
      <w:r w:rsidR="00846DCE" w:rsidRPr="00846DCE">
        <w:rPr>
          <w:rFonts w:cstheme="minorHAnsi"/>
        </w:rPr>
        <w:t>desenquadramento nos segmentos de Renda Fixa e Renda Variável.</w:t>
      </w:r>
      <w:r w:rsidR="00846DCE">
        <w:rPr>
          <w:rFonts w:cstheme="minorHAnsi"/>
        </w:rPr>
        <w:t xml:space="preserve"> Que a nossa carteira </w:t>
      </w:r>
      <w:r w:rsidR="00846DCE" w:rsidRPr="00846DCE">
        <w:rPr>
          <w:rFonts w:ascii="Calibri" w:hAnsi="Calibri" w:cs="Calibri"/>
        </w:rPr>
        <w:t>possui 75,22% dos seus recursos com liquidez abaixo de 30 dias, sendo este patrimônio dividido em 21 fundos de investimentos.</w:t>
      </w:r>
      <w:r w:rsidR="00846DCE">
        <w:rPr>
          <w:rFonts w:ascii="Calibri" w:hAnsi="Calibri" w:cs="Calibri"/>
        </w:rPr>
        <w:t xml:space="preserve"> Que infelizmente, </w:t>
      </w:r>
      <w:r w:rsidR="00846DCE" w:rsidRPr="00846DCE">
        <w:rPr>
          <w:rFonts w:cstheme="minorHAnsi"/>
        </w:rPr>
        <w:t>houve um decaimento patrimonial</w:t>
      </w:r>
      <w:r w:rsidR="00846DCE">
        <w:rPr>
          <w:rFonts w:cstheme="minorHAnsi"/>
        </w:rPr>
        <w:t xml:space="preserve"> na nossa carteira</w:t>
      </w:r>
      <w:r w:rsidR="00846DCE" w:rsidRPr="00846DCE">
        <w:rPr>
          <w:rFonts w:cstheme="minorHAnsi"/>
        </w:rPr>
        <w:t xml:space="preserve">, com uma rentabilidade de -0,66%. </w:t>
      </w:r>
      <w:r w:rsidR="00846DCE">
        <w:rPr>
          <w:rFonts w:cstheme="minorHAnsi"/>
        </w:rPr>
        <w:t>Que o</w:t>
      </w:r>
      <w:r w:rsidR="00846DCE" w:rsidRPr="00846DCE">
        <w:rPr>
          <w:rFonts w:cstheme="minorHAnsi"/>
        </w:rPr>
        <w:t xml:space="preserve"> Índice Nacional de Preços ao Consumidor Amplo (IPCA), ficou em 5,07%, no mês de dezembro</w:t>
      </w:r>
      <w:r w:rsidR="00846DCE">
        <w:rPr>
          <w:rFonts w:cstheme="minorHAnsi"/>
        </w:rPr>
        <w:t xml:space="preserve"> e que i</w:t>
      </w:r>
      <w:r w:rsidR="00846DCE" w:rsidRPr="00846DCE">
        <w:rPr>
          <w:rFonts w:cstheme="minorHAnsi"/>
        </w:rPr>
        <w:t>nfluenciada pelo desempenho do IPCA no mês de dezembro, a meta atuarial foi 0,92%.</w:t>
      </w:r>
      <w:r w:rsidR="00846DCE">
        <w:rPr>
          <w:rFonts w:cstheme="minorHAnsi"/>
        </w:rPr>
        <w:t xml:space="preserve"> </w:t>
      </w:r>
      <w:r w:rsidR="00846DCE" w:rsidRPr="00846DCE">
        <w:rPr>
          <w:rFonts w:ascii="Calibri" w:hAnsi="Calibri" w:cs="Calibri"/>
        </w:rPr>
        <w:t>Que este</w:t>
      </w:r>
      <w:r w:rsidR="00846DCE" w:rsidRPr="00846DCE">
        <w:rPr>
          <w:rFonts w:ascii="Calibri" w:hAnsi="Calibri" w:cs="Calibri"/>
        </w:rPr>
        <w:t xml:space="preserve"> Comitê de Investimentos analisou e atestou a conformidade do relatório de investimentos referente ao mês de dezembro de 2024 quanto à rentabilidade e riscos das diversas modalidades de operações realizadas na aplicação dos </w:t>
      </w:r>
      <w:r w:rsidR="00846DCE">
        <w:rPr>
          <w:rFonts w:ascii="Calibri" w:hAnsi="Calibri" w:cs="Calibri"/>
        </w:rPr>
        <w:t xml:space="preserve">nossos </w:t>
      </w:r>
      <w:r w:rsidR="00846DCE" w:rsidRPr="00846DCE">
        <w:rPr>
          <w:rFonts w:ascii="Calibri" w:hAnsi="Calibri" w:cs="Calibri"/>
        </w:rPr>
        <w:t>recursos e da aderência das alocações e processos decisórios de investimento à Política de Investimentos, conforme registro n</w:t>
      </w:r>
      <w:r w:rsidR="00846DCE">
        <w:rPr>
          <w:rFonts w:ascii="Calibri" w:hAnsi="Calibri" w:cs="Calibri"/>
        </w:rPr>
        <w:t>est</w:t>
      </w:r>
      <w:r w:rsidR="00846DCE" w:rsidRPr="00846DCE">
        <w:rPr>
          <w:rFonts w:ascii="Calibri" w:hAnsi="Calibri" w:cs="Calibri"/>
        </w:rPr>
        <w:t>a ata</w:t>
      </w:r>
      <w:r w:rsidR="00846DCE">
        <w:rPr>
          <w:rFonts w:ascii="Calibri" w:hAnsi="Calibri" w:cs="Calibri"/>
        </w:rPr>
        <w:t xml:space="preserve">. Momento seguinte, Francielle passou a palavra para o Rodolpho que iniciou </w:t>
      </w:r>
      <w:r w:rsidR="00E7391A">
        <w:t>analisando o mercado em si</w:t>
      </w:r>
      <w:r w:rsidR="004B4F63">
        <w:t>.</w:t>
      </w:r>
      <w:r w:rsidR="00E7391A">
        <w:t xml:space="preserve"> </w:t>
      </w:r>
      <w:r w:rsidR="009A0070">
        <w:t xml:space="preserve"> </w:t>
      </w:r>
      <w:r w:rsidR="007E2DBA">
        <w:t>Onde o governo está tentando de toda forma controlar a inflação. A inflação vem saindo de 5,08% para 5,5%</w:t>
      </w:r>
      <w:r w:rsidR="00DD3339">
        <w:t>,</w:t>
      </w:r>
      <w:r w:rsidR="0065517F">
        <w:t xml:space="preserve"> </w:t>
      </w:r>
      <w:r w:rsidR="00287591">
        <w:t>um valor</w:t>
      </w:r>
      <w:r w:rsidR="0065517F">
        <w:t xml:space="preserve"> bastante elevad</w:t>
      </w:r>
      <w:r w:rsidR="00287591">
        <w:t>o,</w:t>
      </w:r>
      <w:r w:rsidR="0065517F">
        <w:t xml:space="preserve"> </w:t>
      </w:r>
      <w:r w:rsidR="00DD3339">
        <w:t>acima da meta, trazendo um problema do controle da meta atuarial, sabendo que a meta é IPCA+ a taxa específica de cada RPPS. Segundo alguns especialistas do mercado, mesmo com algumas medidas tomadas pelo governo</w:t>
      </w:r>
      <w:r w:rsidR="00287591">
        <w:t>,</w:t>
      </w:r>
      <w:r w:rsidR="00DD3339">
        <w:t xml:space="preserve"> não </w:t>
      </w:r>
      <w:r w:rsidR="00287591">
        <w:t xml:space="preserve">estão </w:t>
      </w:r>
      <w:r w:rsidR="00DD3339">
        <w:t>consegui</w:t>
      </w:r>
      <w:r w:rsidR="00287591">
        <w:t>n</w:t>
      </w:r>
      <w:r w:rsidR="00DD3339">
        <w:t xml:space="preserve">do controlar a inflação. </w:t>
      </w:r>
      <w:r w:rsidR="00D2540E">
        <w:t>Tendo em vista que a meta do governo é 3% com 1,5% de tolerância para cima (4,5%) e para baixo</w:t>
      </w:r>
      <w:r w:rsidR="00D176E6">
        <w:t xml:space="preserve"> </w:t>
      </w:r>
      <w:r w:rsidR="00D2540E">
        <w:t>(1,5%)</w:t>
      </w:r>
      <w:r w:rsidR="0065517F">
        <w:t xml:space="preserve">. Sendo assim </w:t>
      </w:r>
      <w:r w:rsidR="00D176E6">
        <w:t>1 ponto percentual acima,</w:t>
      </w:r>
      <w:r w:rsidR="00287591">
        <w:t xml:space="preserve"> </w:t>
      </w:r>
      <w:r w:rsidR="00D176E6">
        <w:t xml:space="preserve">pega muito mal para um país. Há uma preocupação para </w:t>
      </w:r>
      <w:r w:rsidR="00A275F4">
        <w:t>este controle em relação ao mercado nacional. No mês de janeiro houve um respiro da Bolsa. No período de análise entre 31/12/2024 à 27/01/2025,</w:t>
      </w:r>
      <w:r w:rsidR="00287591">
        <w:t xml:space="preserve"> </w:t>
      </w:r>
      <w:r w:rsidR="00A275F4">
        <w:t>teve uma variação de 1,8%.</w:t>
      </w:r>
      <w:r w:rsidR="00287591">
        <w:t xml:space="preserve"> </w:t>
      </w:r>
      <w:r w:rsidR="00A275F4">
        <w:t>Se formos analisar o cenário nacional otimista, a taxa de juros está prevista para 14,5% até</w:t>
      </w:r>
      <w:r w:rsidR="009A0070">
        <w:t xml:space="preserve"> o final do an</w:t>
      </w:r>
      <w:r w:rsidR="00021A19">
        <w:t>o de 2025</w:t>
      </w:r>
      <w:r w:rsidR="00A275F4">
        <w:t xml:space="preserve">.E no cenário pessimista a taxa será </w:t>
      </w:r>
      <w:r w:rsidR="00B44110">
        <w:t>em 15,75%.</w:t>
      </w:r>
      <w:r w:rsidR="00287591">
        <w:t xml:space="preserve"> </w:t>
      </w:r>
      <w:r w:rsidR="00B44110">
        <w:t>Rodol</w:t>
      </w:r>
      <w:r w:rsidR="00287591">
        <w:t>ph</w:t>
      </w:r>
      <w:r w:rsidR="00B44110">
        <w:t>o comentou que Gustavo colocou no grupo</w:t>
      </w:r>
      <w:r w:rsidR="001D750C">
        <w:t xml:space="preserve"> da Lema Prime, que 90% das prog</w:t>
      </w:r>
      <w:r w:rsidR="00287591">
        <w:t>r</w:t>
      </w:r>
      <w:r w:rsidR="001D750C">
        <w:t>es</w:t>
      </w:r>
      <w:r w:rsidR="00B44110">
        <w:t>sões</w:t>
      </w:r>
      <w:r w:rsidR="00086AF4">
        <w:t xml:space="preserve"> de 2021 para cá foram equivocadas, o mercado é muito dinâmico e incerto. Cabendo a nós gestores de recurso saber dosa</w:t>
      </w:r>
      <w:r w:rsidR="0065517F">
        <w:t>r</w:t>
      </w:r>
      <w:r w:rsidR="00086AF4">
        <w:t xml:space="preserve"> e tomar decisão correta. E</w:t>
      </w:r>
      <w:r w:rsidR="001D750C">
        <w:t xml:space="preserve"> com a</w:t>
      </w:r>
      <w:r w:rsidR="00086AF4">
        <w:t xml:space="preserve"> </w:t>
      </w:r>
      <w:r w:rsidR="001D750C">
        <w:t>taxa de juros à 15%,</w:t>
      </w:r>
      <w:r w:rsidR="00287591">
        <w:t xml:space="preserve"> </w:t>
      </w:r>
      <w:r w:rsidR="001D750C">
        <w:t xml:space="preserve">não tem como ignorar a renda fixa. Devido a taxa de juros, a Selic vai entregar acima da meta atuarial. </w:t>
      </w:r>
      <w:r w:rsidR="009A0070">
        <w:t xml:space="preserve"> </w:t>
      </w:r>
      <w:r w:rsidR="001D750C">
        <w:t>Com essa infla</w:t>
      </w:r>
      <w:r w:rsidR="00653F79">
        <w:t xml:space="preserve">ção tão alta não poderíamos colocar o patrimônio </w:t>
      </w:r>
      <w:r w:rsidR="00653F79">
        <w:lastRenderedPageBreak/>
        <w:t>do RPPS só em CDI, seria algo irreal, principalmente pelo fato da nossa carteira ser diversificada. A maioria dos CDI</w:t>
      </w:r>
      <w:r w:rsidR="001B52CB">
        <w:t xml:space="preserve"> estão enquadrado no artigo 7</w:t>
      </w:r>
      <w:r w:rsidR="00287591">
        <w:t xml:space="preserve">º, III a </w:t>
      </w:r>
      <w:r w:rsidR="001B52CB">
        <w:t xml:space="preserve">e o RPPS </w:t>
      </w:r>
      <w:r w:rsidR="006B788B">
        <w:t>só pode ter 60% do patrimônio nesse segmento</w:t>
      </w:r>
      <w:r w:rsidR="00FB55B7">
        <w:t xml:space="preserve">. Quanto a rentabilidade da Bolsa </w:t>
      </w:r>
      <w:r w:rsidR="00287591">
        <w:t xml:space="preserve">teve uma </w:t>
      </w:r>
      <w:r w:rsidR="00945271">
        <w:t>recupera</w:t>
      </w:r>
      <w:r w:rsidR="00287591">
        <w:t>ção</w:t>
      </w:r>
      <w:r w:rsidR="00945271">
        <w:t xml:space="preserve"> no mês de janeiro. </w:t>
      </w:r>
      <w:r w:rsidR="00287591">
        <w:t xml:space="preserve">O </w:t>
      </w:r>
      <w:r w:rsidR="00945271">
        <w:t>S&amp;P500 teve valorizaç</w:t>
      </w:r>
      <w:r w:rsidR="0065517F">
        <w:t>ão devido algumas medidas</w:t>
      </w:r>
      <w:r w:rsidR="00945271">
        <w:t xml:space="preserve"> feitas pelo Donald Trump, como fechamento de fronteira e medidas mais conservadoras e por conta de balanços de empresas em tecnologia. O BDR esta semana </w:t>
      </w:r>
      <w:r w:rsidR="00FD650E">
        <w:t>teve uma valorização também em 4,9%</w:t>
      </w:r>
      <w:r w:rsidR="00287591">
        <w:t>, p</w:t>
      </w:r>
      <w:r w:rsidR="00FD650E">
        <w:t>uxando assim o S&amp;P 500 mais para cima. Os índices de renda fixa</w:t>
      </w:r>
      <w:r w:rsidR="00895564">
        <w:t xml:space="preserve"> também tiveram uma rentabilidade maior com</w:t>
      </w:r>
      <w:r w:rsidR="0065517F">
        <w:t>o</w:t>
      </w:r>
      <w:r w:rsidR="00895564">
        <w:t xml:space="preserve"> IRF-M</w:t>
      </w:r>
      <w:r w:rsidR="00287591">
        <w:t xml:space="preserve">, </w:t>
      </w:r>
      <w:r w:rsidR="00895564">
        <w:t>RF-M 1,</w:t>
      </w:r>
      <w:r w:rsidR="00287591">
        <w:t xml:space="preserve"> </w:t>
      </w:r>
      <w:r w:rsidR="00895564">
        <w:t>IRF-M 1+,</w:t>
      </w:r>
      <w:r w:rsidR="00287591">
        <w:t xml:space="preserve"> </w:t>
      </w:r>
      <w:r w:rsidR="00895564">
        <w:t>IMA GERAL. Sofremos com a meta atuarial, por causa do comportamento de a</w:t>
      </w:r>
      <w:r w:rsidR="0065517F">
        <w:t>lg</w:t>
      </w:r>
      <w:r w:rsidR="00895564">
        <w:t>uns</w:t>
      </w:r>
      <w:r w:rsidR="0065517F">
        <w:t xml:space="preserve"> </w:t>
      </w:r>
      <w:r w:rsidR="00895564">
        <w:t>fundos,</w:t>
      </w:r>
      <w:r w:rsidR="00287591">
        <w:t xml:space="preserve"> </w:t>
      </w:r>
      <w:r w:rsidR="00895564">
        <w:t>devido ao cenário e não a gestão dos fundos</w:t>
      </w:r>
      <w:r w:rsidR="00A67609">
        <w:t xml:space="preserve">. </w:t>
      </w:r>
      <w:r w:rsidR="00287591">
        <w:t>Analisando a nossa carteira, vimos que tivemos uma rentabilidade de 0,66% e acumulo</w:t>
      </w:r>
      <w:r w:rsidR="00F02960">
        <w:t xml:space="preserve"> </w:t>
      </w:r>
      <w:r w:rsidR="00287591">
        <w:t xml:space="preserve">de 3,34%, sendo a meta/mês 0,92% e acumulo 9,97%. </w:t>
      </w:r>
      <w:r w:rsidR="006444EA">
        <w:t xml:space="preserve">Diante do que vem apontando o mercado, foi sugerido que seja feita a realocação do fundo Bradesco Alocação Dinâmica em outro fundo que esteja com melhor rentabilidade dentro da mesma instituição. Outra estratégia para tentar atingir a meta, seria resgatar do Fundo Gestão Estratégica e IMA-B 5 da Caixa e aplicar no Aliança ou Matriz. Analisando o fechamento da nossa carteira em 2024, ficou claro que não conseguimos bater a meta devido ao mercado financeiro difícil, além dos resgates que foram feitos para complementar o pagamento da folha dos aposentados e pensionistas. Porém além dos desafios conseguimos manter o patrimônio e tivemos um ganho de R$392.000,00, demonstrando responsabilidade e boa gestão do Comitê de Investimento. </w:t>
      </w:r>
      <w:r w:rsidR="00D44336">
        <w:t xml:space="preserve">Francielle apresentou o relatório do Comitê do fechamento de dezembro/2024, que foi aprovado por todos. </w:t>
      </w:r>
      <w:r w:rsidR="00A60BFE">
        <w:t>Nada mais havendo a tratar</w:t>
      </w:r>
      <w:r w:rsidR="006902AC">
        <w:t xml:space="preserve">, </w:t>
      </w:r>
      <w:r w:rsidR="005405F9">
        <w:t>Francielle</w:t>
      </w:r>
      <w:r w:rsidR="00E25891" w:rsidRPr="00C8202D">
        <w:t xml:space="preserve">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Cláudia Aparecida Monteiro dos santos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presentes. </w:t>
      </w:r>
      <w:r w:rsidR="00E25891" w:rsidRPr="00E25891">
        <w:rPr>
          <w:sz w:val="24"/>
          <w:szCs w:val="24"/>
        </w:rPr>
        <w:t>e</w:t>
      </w:r>
      <w:r w:rsidR="00715EDC" w:rsidRPr="00746E38">
        <w:rPr>
          <w:rFonts w:cstheme="minorHAnsi"/>
          <w:sz w:val="24"/>
          <w:szCs w:val="24"/>
        </w:rPr>
        <w:t xml:space="preserve">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A67609">
        <w:rPr>
          <w:rFonts w:cstheme="minorHAnsi"/>
          <w:sz w:val="24"/>
          <w:szCs w:val="24"/>
        </w:rPr>
        <w:t>27</w:t>
      </w:r>
      <w:r w:rsidR="00E25891">
        <w:rPr>
          <w:rFonts w:cstheme="minorHAnsi"/>
          <w:sz w:val="24"/>
          <w:szCs w:val="24"/>
        </w:rPr>
        <w:t xml:space="preserve"> </w:t>
      </w:r>
      <w:r w:rsidR="001F05AC">
        <w:rPr>
          <w:rFonts w:cstheme="minorHAnsi"/>
          <w:sz w:val="24"/>
          <w:szCs w:val="24"/>
        </w:rPr>
        <w:t>de janeir</w:t>
      </w:r>
      <w:r w:rsidR="00F02960">
        <w:rPr>
          <w:rFonts w:cstheme="minorHAnsi"/>
          <w:sz w:val="24"/>
          <w:szCs w:val="24"/>
        </w:rPr>
        <w:t>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4849C4AF" w14:textId="77777777" w:rsidR="002047C8" w:rsidRDefault="002047C8" w:rsidP="00846DCE">
      <w:pPr>
        <w:spacing w:before="5" w:line="360" w:lineRule="auto"/>
        <w:jc w:val="both"/>
        <w:rPr>
          <w:rFonts w:cstheme="minorHAnsi"/>
          <w:sz w:val="24"/>
          <w:szCs w:val="24"/>
        </w:rPr>
      </w:pPr>
    </w:p>
    <w:p w14:paraId="6ECBA786" w14:textId="77777777" w:rsidR="002047C8" w:rsidRPr="00A41A3C" w:rsidRDefault="002047C8" w:rsidP="002047C8">
      <w:pPr>
        <w:pStyle w:val="SemEspaamento"/>
        <w:jc w:val="center"/>
      </w:pPr>
      <w:r w:rsidRPr="00A41A3C">
        <w:t>Francielle E. de O. Costa</w:t>
      </w:r>
    </w:p>
    <w:p w14:paraId="15E6AA9B" w14:textId="77777777" w:rsidR="002047C8" w:rsidRPr="00A41A3C" w:rsidRDefault="002047C8" w:rsidP="002047C8">
      <w:pPr>
        <w:pStyle w:val="SemEspaamento"/>
        <w:jc w:val="center"/>
      </w:pPr>
      <w:r w:rsidRPr="00A41A3C">
        <w:t>Presidente do Comitê/Gestor Recursos</w:t>
      </w:r>
    </w:p>
    <w:p w14:paraId="4D2BB794" w14:textId="77777777" w:rsidR="002047C8" w:rsidRPr="00A41A3C" w:rsidRDefault="002047C8" w:rsidP="002047C8">
      <w:pPr>
        <w:pStyle w:val="SemEspaamento"/>
      </w:pPr>
      <w:r w:rsidRPr="00A41A3C">
        <w:t xml:space="preserve"> </w:t>
      </w:r>
    </w:p>
    <w:p w14:paraId="212E763E" w14:textId="77777777" w:rsidR="002047C8" w:rsidRPr="00A41A3C" w:rsidRDefault="002047C8" w:rsidP="002047C8">
      <w:pPr>
        <w:pStyle w:val="SemEspaamento"/>
      </w:pPr>
    </w:p>
    <w:p w14:paraId="0E7AFB53" w14:textId="77777777" w:rsidR="002047C8" w:rsidRDefault="002047C8" w:rsidP="002047C8">
      <w:pPr>
        <w:pStyle w:val="SemEspaamento"/>
        <w:jc w:val="center"/>
      </w:pPr>
    </w:p>
    <w:p w14:paraId="1F08479E" w14:textId="77777777" w:rsidR="002047C8" w:rsidRDefault="002047C8" w:rsidP="002047C8">
      <w:pPr>
        <w:pStyle w:val="SemEspaamento"/>
        <w:jc w:val="center"/>
      </w:pPr>
      <w:r w:rsidRPr="00A41A3C">
        <w:t xml:space="preserve">Cláudia Aparecida Monteiro dos Santos </w:t>
      </w:r>
      <w:r>
        <w:t xml:space="preserve">                           </w:t>
      </w:r>
      <w:r w:rsidRPr="00A41A3C">
        <w:t>Daniel Fernando da Silva</w:t>
      </w:r>
    </w:p>
    <w:p w14:paraId="1BB02F2C" w14:textId="77777777" w:rsidR="002047C8" w:rsidRDefault="002047C8" w:rsidP="002047C8">
      <w:pPr>
        <w:pStyle w:val="SemEspaamento"/>
      </w:pPr>
      <w:r>
        <w:t xml:space="preserve">                                        Secretária                                                                     Membro</w:t>
      </w:r>
    </w:p>
    <w:p w14:paraId="510E7C5B" w14:textId="77777777" w:rsidR="002047C8" w:rsidRDefault="002047C8" w:rsidP="002047C8">
      <w:pPr>
        <w:pStyle w:val="SemEspaamento"/>
        <w:jc w:val="center"/>
      </w:pPr>
    </w:p>
    <w:p w14:paraId="33C592F0" w14:textId="77777777" w:rsidR="002047C8" w:rsidRPr="00A41A3C" w:rsidRDefault="002047C8" w:rsidP="002047C8">
      <w:pPr>
        <w:pStyle w:val="SemEspaamento"/>
      </w:pPr>
    </w:p>
    <w:p w14:paraId="3DA2DFE6" w14:textId="77777777" w:rsidR="002047C8" w:rsidRPr="00A41A3C" w:rsidRDefault="002047C8" w:rsidP="002047C8">
      <w:pPr>
        <w:pStyle w:val="SemEspaamento"/>
      </w:pPr>
    </w:p>
    <w:p w14:paraId="2C7444CF" w14:textId="77777777" w:rsidR="002047C8" w:rsidRPr="00A41A3C" w:rsidRDefault="002047C8" w:rsidP="002047C8">
      <w:pPr>
        <w:pStyle w:val="SemEspaamento"/>
      </w:pPr>
      <w:r>
        <w:t xml:space="preserve">                        </w:t>
      </w:r>
      <w:r w:rsidRPr="00A41A3C">
        <w:t xml:space="preserve">  Márcia Helena Pires Reis          </w:t>
      </w:r>
      <w:r>
        <w:t xml:space="preserve">                    </w:t>
      </w:r>
      <w:r w:rsidRPr="00A41A3C">
        <w:t xml:space="preserve"> Rosimery Ap. Inácio de Pinho Procópio  </w:t>
      </w:r>
    </w:p>
    <w:p w14:paraId="207FD7D2" w14:textId="75BB6CD5" w:rsidR="00715EDC" w:rsidRDefault="002047C8" w:rsidP="0055445B">
      <w:pPr>
        <w:pStyle w:val="SemEspaamento"/>
      </w:pPr>
      <w:r w:rsidRPr="00A41A3C">
        <w:t xml:space="preserve">                   </w:t>
      </w:r>
      <w:r>
        <w:t xml:space="preserve">                   </w:t>
      </w:r>
      <w:r w:rsidRPr="00A41A3C">
        <w:t xml:space="preserve"> Membro                                 </w:t>
      </w:r>
      <w:r>
        <w:t xml:space="preserve">                                       </w:t>
      </w:r>
      <w:proofErr w:type="spellStart"/>
      <w:r>
        <w:t>Membro</w:t>
      </w:r>
      <w:proofErr w:type="spellEnd"/>
    </w:p>
    <w:sectPr w:rsidR="00715EDC" w:rsidSect="002047C8">
      <w:headerReference w:type="default" r:id="rId6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FD650E" w:rsidRDefault="00FD650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FD650E" w:rsidRDefault="00FD650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FD650E" w:rsidRDefault="00FD650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FD650E" w:rsidRDefault="00FD650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FD650E" w:rsidRDefault="00FD650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721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2054729949" name="Imagem 205472994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1A19"/>
    <w:rsid w:val="00025920"/>
    <w:rsid w:val="00031EEB"/>
    <w:rsid w:val="00052BCC"/>
    <w:rsid w:val="00077701"/>
    <w:rsid w:val="00086AF4"/>
    <w:rsid w:val="000C41A3"/>
    <w:rsid w:val="000C6CCD"/>
    <w:rsid w:val="000D31FE"/>
    <w:rsid w:val="000E0B54"/>
    <w:rsid w:val="000F1624"/>
    <w:rsid w:val="00111CB4"/>
    <w:rsid w:val="00126B18"/>
    <w:rsid w:val="00140D88"/>
    <w:rsid w:val="001760A0"/>
    <w:rsid w:val="001B52CB"/>
    <w:rsid w:val="001C5CD2"/>
    <w:rsid w:val="001D750C"/>
    <w:rsid w:val="001F05AC"/>
    <w:rsid w:val="002047C8"/>
    <w:rsid w:val="002136E5"/>
    <w:rsid w:val="0022668D"/>
    <w:rsid w:val="00236B8D"/>
    <w:rsid w:val="00287591"/>
    <w:rsid w:val="002A144E"/>
    <w:rsid w:val="002B7B97"/>
    <w:rsid w:val="00305BFB"/>
    <w:rsid w:val="00310350"/>
    <w:rsid w:val="0032686E"/>
    <w:rsid w:val="00337742"/>
    <w:rsid w:val="003B06D9"/>
    <w:rsid w:val="004331DB"/>
    <w:rsid w:val="0045411D"/>
    <w:rsid w:val="00457703"/>
    <w:rsid w:val="00470775"/>
    <w:rsid w:val="00480DB9"/>
    <w:rsid w:val="004873C4"/>
    <w:rsid w:val="00490B8F"/>
    <w:rsid w:val="00491624"/>
    <w:rsid w:val="00495297"/>
    <w:rsid w:val="004B4F63"/>
    <w:rsid w:val="004F0898"/>
    <w:rsid w:val="005204A1"/>
    <w:rsid w:val="00533F7C"/>
    <w:rsid w:val="005405F9"/>
    <w:rsid w:val="0055445B"/>
    <w:rsid w:val="00566B78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902AC"/>
    <w:rsid w:val="006B788B"/>
    <w:rsid w:val="0070367D"/>
    <w:rsid w:val="00715EDC"/>
    <w:rsid w:val="00746E38"/>
    <w:rsid w:val="0076367F"/>
    <w:rsid w:val="007A6E39"/>
    <w:rsid w:val="007C7524"/>
    <w:rsid w:val="007D4497"/>
    <w:rsid w:val="007E2DBA"/>
    <w:rsid w:val="007F6587"/>
    <w:rsid w:val="00804BD2"/>
    <w:rsid w:val="00846DCE"/>
    <w:rsid w:val="00857F16"/>
    <w:rsid w:val="00895564"/>
    <w:rsid w:val="008D121C"/>
    <w:rsid w:val="008E0C32"/>
    <w:rsid w:val="0090692B"/>
    <w:rsid w:val="009131E7"/>
    <w:rsid w:val="0092513B"/>
    <w:rsid w:val="00945271"/>
    <w:rsid w:val="0095411E"/>
    <w:rsid w:val="00957CC8"/>
    <w:rsid w:val="009A0070"/>
    <w:rsid w:val="009A3FFD"/>
    <w:rsid w:val="009A7790"/>
    <w:rsid w:val="009D452D"/>
    <w:rsid w:val="00A275F4"/>
    <w:rsid w:val="00A60BFE"/>
    <w:rsid w:val="00A67609"/>
    <w:rsid w:val="00AC5B92"/>
    <w:rsid w:val="00B00389"/>
    <w:rsid w:val="00B3346B"/>
    <w:rsid w:val="00B44110"/>
    <w:rsid w:val="00B67010"/>
    <w:rsid w:val="00B800D7"/>
    <w:rsid w:val="00B83DAE"/>
    <w:rsid w:val="00BF14B5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D06E6C"/>
    <w:rsid w:val="00D119C1"/>
    <w:rsid w:val="00D176E6"/>
    <w:rsid w:val="00D2540E"/>
    <w:rsid w:val="00D317E6"/>
    <w:rsid w:val="00D3276B"/>
    <w:rsid w:val="00D44336"/>
    <w:rsid w:val="00D77A39"/>
    <w:rsid w:val="00DA2184"/>
    <w:rsid w:val="00DC1CFB"/>
    <w:rsid w:val="00DC1FA5"/>
    <w:rsid w:val="00DC30E0"/>
    <w:rsid w:val="00DC30F7"/>
    <w:rsid w:val="00DD3339"/>
    <w:rsid w:val="00DF1FF3"/>
    <w:rsid w:val="00E25891"/>
    <w:rsid w:val="00E55565"/>
    <w:rsid w:val="00E7391A"/>
    <w:rsid w:val="00E93806"/>
    <w:rsid w:val="00EA5028"/>
    <w:rsid w:val="00EB5A58"/>
    <w:rsid w:val="00EB6666"/>
    <w:rsid w:val="00EB78A3"/>
    <w:rsid w:val="00EC05EE"/>
    <w:rsid w:val="00EE7DDD"/>
    <w:rsid w:val="00EF3A33"/>
    <w:rsid w:val="00F02960"/>
    <w:rsid w:val="00F23004"/>
    <w:rsid w:val="00F53CAA"/>
    <w:rsid w:val="00FB55B7"/>
    <w:rsid w:val="00FD05EC"/>
    <w:rsid w:val="00FD650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9B89363A-7E68-4675-A8F8-4CA864A06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2</Pages>
  <Words>952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23</cp:revision>
  <cp:lastPrinted>2024-01-26T18:40:00Z</cp:lastPrinted>
  <dcterms:created xsi:type="dcterms:W3CDTF">2024-06-11T16:58:00Z</dcterms:created>
  <dcterms:modified xsi:type="dcterms:W3CDTF">2025-05-20T18:52:00Z</dcterms:modified>
</cp:coreProperties>
</file>